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A9F31">
      <w:pPr>
        <w:spacing w:line="600" w:lineRule="exact"/>
        <w:jc w:val="center"/>
        <w:rPr>
          <w:rFonts w:hint="eastAsia" w:ascii="楷体_GB2312" w:eastAsia="楷体_GB2312"/>
          <w:sz w:val="28"/>
          <w:szCs w:val="28"/>
        </w:rPr>
      </w:pPr>
    </w:p>
    <w:p w14:paraId="4D6FF6AB">
      <w:pPr>
        <w:spacing w:line="600" w:lineRule="exact"/>
        <w:jc w:val="center"/>
        <w:rPr>
          <w:rFonts w:hint="eastAsia" w:ascii="楷体_GB2312" w:eastAsia="楷体_GB2312"/>
          <w:sz w:val="28"/>
          <w:szCs w:val="28"/>
        </w:rPr>
      </w:pPr>
    </w:p>
    <w:p w14:paraId="43DEC99C">
      <w:pPr>
        <w:spacing w:line="600" w:lineRule="exact"/>
        <w:jc w:val="center"/>
        <w:rPr>
          <w:rFonts w:hint="eastAsia" w:ascii="楷体_GB2312" w:eastAsia="楷体_GB2312"/>
          <w:sz w:val="28"/>
          <w:szCs w:val="28"/>
        </w:rPr>
      </w:pPr>
    </w:p>
    <w:p w14:paraId="71956DC6">
      <w:pPr>
        <w:spacing w:line="600" w:lineRule="exact"/>
        <w:jc w:val="center"/>
        <w:rPr>
          <w:rFonts w:hint="eastAsia" w:ascii="楷体_GB2312" w:eastAsia="楷体_GB2312"/>
          <w:sz w:val="28"/>
          <w:szCs w:val="28"/>
        </w:rPr>
      </w:pPr>
    </w:p>
    <w:p w14:paraId="36A3AC6C">
      <w:pPr>
        <w:spacing w:line="600" w:lineRule="exact"/>
        <w:jc w:val="center"/>
        <w:rPr>
          <w:rFonts w:hint="eastAsia" w:ascii="楷体_GB2312" w:eastAsia="楷体_GB2312"/>
          <w:sz w:val="28"/>
          <w:szCs w:val="28"/>
        </w:rPr>
      </w:pPr>
    </w:p>
    <w:p w14:paraId="135B43FF">
      <w:pPr>
        <w:spacing w:line="600" w:lineRule="exact"/>
        <w:jc w:val="center"/>
        <w:rPr>
          <w:rFonts w:hint="eastAsia" w:ascii="楷体_GB2312" w:eastAsia="楷体_GB2312"/>
          <w:sz w:val="28"/>
          <w:szCs w:val="28"/>
        </w:rPr>
      </w:pPr>
    </w:p>
    <w:p w14:paraId="22DAC04E">
      <w:pPr>
        <w:widowControl w:val="0"/>
        <w:wordWrap/>
        <w:adjustRightInd/>
        <w:snapToGrid/>
        <w:spacing w:before="0" w:after="0" w:line="560" w:lineRule="exact"/>
        <w:ind w:left="0" w:leftChars="0" w:right="0"/>
        <w:jc w:val="center"/>
        <w:textAlignment w:val="auto"/>
        <w:outlineLvl w:val="9"/>
        <w:rPr>
          <w:rFonts w:hint="eastAsia" w:ascii="楷体_GB2312" w:eastAsia="楷体_GB2312"/>
          <w:sz w:val="28"/>
          <w:szCs w:val="28"/>
        </w:rPr>
      </w:pPr>
    </w:p>
    <w:p w14:paraId="05A34F8D">
      <w:pPr>
        <w:widowControl w:val="0"/>
        <w:wordWrap/>
        <w:adjustRightInd/>
        <w:snapToGrid/>
        <w:spacing w:before="0" w:after="0" w:line="560" w:lineRule="exact"/>
        <w:ind w:left="0" w:leftChars="0" w:right="0"/>
        <w:jc w:val="center"/>
        <w:textAlignment w:val="auto"/>
        <w:outlineLvl w:val="9"/>
        <w:rPr>
          <w:rFonts w:hint="default" w:ascii="仿宋_GB2312" w:eastAsia="仿宋_GB2312"/>
          <w:sz w:val="32"/>
        </w:rPr>
      </w:pPr>
      <w:r>
        <w:rPr>
          <w:rFonts w:hint="eastAsia" w:ascii="仿宋_GB2312" w:eastAsia="仿宋_GB2312"/>
          <w:sz w:val="32"/>
        </w:rPr>
        <w:t>舞文广</w:t>
      </w:r>
      <w:r>
        <w:rPr>
          <w:rFonts w:hint="eastAsia" w:ascii="仿宋_GB2312" w:eastAsia="仿宋_GB2312"/>
          <w:sz w:val="32"/>
          <w:lang w:eastAsia="zh-CN"/>
        </w:rPr>
        <w:t>旅</w:t>
      </w:r>
      <w:r>
        <w:rPr>
          <w:rFonts w:hint="eastAsia" w:ascii="仿宋_GB2312" w:eastAsia="仿宋_GB2312"/>
          <w:sz w:val="32"/>
        </w:rPr>
        <w:t>〔</w:t>
      </w:r>
      <w:r>
        <w:rPr>
          <w:rFonts w:hint="eastAsia" w:ascii="仿宋_GB2312" w:eastAsia="仿宋_GB2312"/>
          <w:sz w:val="32"/>
          <w:lang w:eastAsia="zh-CN"/>
        </w:rPr>
        <w:t>2025</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eastAsia="仿宋_GB2312"/>
          <w:sz w:val="32"/>
        </w:rPr>
        <w:t xml:space="preserve">号 </w:t>
      </w:r>
    </w:p>
    <w:p w14:paraId="2D90541E">
      <w:pPr>
        <w:pStyle w:val="13"/>
        <w:jc w:val="both"/>
        <w:rPr>
          <w:rFonts w:hint="eastAsia" w:ascii="楷体_GB2312" w:eastAsia="楷体_GB2312"/>
          <w:sz w:val="28"/>
          <w:szCs w:val="28"/>
        </w:rPr>
      </w:pPr>
      <w:r>
        <w:rPr>
          <w:rFonts w:hint="eastAsia" w:ascii="仿宋_GB2312" w:hAnsi="仿宋_GB2312" w:eastAsia="仿宋_GB2312" w:cs="仿宋_GB2312"/>
          <w:sz w:val="32"/>
        </w:rPr>
        <w:t xml:space="preserve">         </w:t>
      </w:r>
    </w:p>
    <w:p w14:paraId="1ED4F78B">
      <w:pPr>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舞钢市</w:t>
      </w:r>
      <w:r>
        <w:rPr>
          <w:rFonts w:hint="eastAsia" w:ascii="方正小标宋简体" w:hAnsi="方正小标宋简体" w:eastAsia="方正小标宋简体" w:cs="方正小标宋简体"/>
          <w:sz w:val="44"/>
          <w:szCs w:val="44"/>
        </w:rPr>
        <w:t>文化广电和旅游局</w:t>
      </w:r>
    </w:p>
    <w:p w14:paraId="5D2C00E6">
      <w:pPr>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年“双随机、一公开”抽查工作计划</w:t>
      </w:r>
    </w:p>
    <w:p w14:paraId="38EA81D2">
      <w:pPr>
        <w:adjustRightInd/>
        <w:snapToGrid/>
        <w:spacing w:before="0" w:after="0" w:line="560" w:lineRule="exact"/>
        <w:ind w:right="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14:paraId="77B130DF">
      <w:pPr>
        <w:adjustRightInd/>
        <w:snapToGrid/>
        <w:spacing w:before="0" w:after="0" w:line="560" w:lineRule="exact"/>
        <w:ind w:right="0"/>
        <w:jc w:val="both"/>
        <w:textAlignment w:val="auto"/>
        <w:outlineLvl w:val="9"/>
        <w:rPr>
          <w:rFonts w:hint="eastAsia" w:ascii="仿宋_GB2312" w:hAnsi="仿宋_GB2312" w:eastAsia="仿宋_GB2312" w:cs="仿宋_GB2312"/>
          <w:color w:val="333333"/>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333333"/>
          <w:sz w:val="32"/>
          <w:szCs w:val="32"/>
        </w:rPr>
        <w:t>为贯彻落实国家、省、市关于</w:t>
      </w:r>
      <w:r>
        <w:rPr>
          <w:rFonts w:hint="eastAsia" w:ascii="仿宋_GB2312" w:hAnsi="仿宋_GB2312" w:eastAsia="仿宋_GB2312" w:cs="仿宋_GB2312"/>
          <w:color w:val="333333"/>
          <w:sz w:val="32"/>
          <w:szCs w:val="32"/>
          <w:lang w:eastAsia="zh-CN"/>
        </w:rPr>
        <w:t>文化</w:t>
      </w:r>
      <w:r>
        <w:rPr>
          <w:rFonts w:hint="eastAsia" w:ascii="仿宋_GB2312" w:hAnsi="仿宋_GB2312" w:eastAsia="仿宋_GB2312" w:cs="仿宋_GB2312"/>
          <w:color w:val="333333"/>
          <w:sz w:val="32"/>
          <w:szCs w:val="32"/>
        </w:rPr>
        <w:t>市场监管领域“双随机、一公开”工作安排部署，为进一步推进简政放权、放管结合、优化服务，提升“双随机、一公开”监管规范化、标准化水平，结合本部门实际，制定</w:t>
      </w:r>
      <w:r>
        <w:rPr>
          <w:rFonts w:hint="eastAsia" w:ascii="仿宋_GB2312" w:hAnsi="仿宋_GB2312" w:eastAsia="仿宋_GB2312" w:cs="仿宋_GB2312"/>
          <w:color w:val="333333"/>
          <w:sz w:val="32"/>
          <w:szCs w:val="32"/>
          <w:lang w:eastAsia="zh-CN"/>
        </w:rPr>
        <w:t>2025</w:t>
      </w:r>
      <w:r>
        <w:rPr>
          <w:rFonts w:hint="eastAsia" w:ascii="仿宋_GB2312" w:hAnsi="仿宋_GB2312" w:eastAsia="仿宋_GB2312" w:cs="仿宋_GB2312"/>
          <w:color w:val="333333"/>
          <w:sz w:val="32"/>
          <w:szCs w:val="32"/>
        </w:rPr>
        <w:t>年“双随机、一公开”抽查工作计划。</w:t>
      </w:r>
    </w:p>
    <w:p w14:paraId="337B3EF9">
      <w:pPr>
        <w:pStyle w:val="10"/>
        <w:numPr>
          <w:ilvl w:val="0"/>
          <w:numId w:val="1"/>
        </w:numPr>
        <w:adjustRightInd/>
        <w:snapToGrid/>
        <w:spacing w:before="0" w:beforeAutospacing="0" w:after="0" w:afterAutospacing="0" w:line="560" w:lineRule="exact"/>
        <w:ind w:right="0"/>
        <w:textAlignment w:val="auto"/>
        <w:outlineLvl w:val="9"/>
        <w:rPr>
          <w:rFonts w:hint="eastAsia" w:ascii="黑体" w:hAnsi="黑体" w:eastAsia="黑体" w:cs="黑体"/>
          <w:color w:val="333333"/>
          <w:kern w:val="2"/>
          <w:sz w:val="32"/>
          <w:szCs w:val="32"/>
        </w:rPr>
      </w:pPr>
      <w:r>
        <w:rPr>
          <w:rFonts w:hint="eastAsia" w:ascii="黑体" w:hAnsi="黑体" w:eastAsia="黑体" w:cs="黑体"/>
          <w:color w:val="333333"/>
          <w:kern w:val="2"/>
          <w:sz w:val="32"/>
          <w:szCs w:val="32"/>
        </w:rPr>
        <w:t>指导思想</w:t>
      </w:r>
    </w:p>
    <w:p w14:paraId="34DE8BC1">
      <w:pPr>
        <w:pStyle w:val="1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color w:val="333333"/>
          <w:kern w:val="2"/>
          <w:sz w:val="32"/>
          <w:szCs w:val="32"/>
        </w:rPr>
      </w:pPr>
      <w:r>
        <w:rPr>
          <w:rFonts w:hint="eastAsia" w:ascii="仿宋_GB2312" w:hAnsi="仿宋_GB2312" w:eastAsia="仿宋_GB2312" w:cs="仿宋_GB2312"/>
          <w:color w:val="333333"/>
          <w:kern w:val="2"/>
          <w:sz w:val="32"/>
          <w:szCs w:val="32"/>
        </w:rPr>
        <w:t>贯彻党中央、国务院的决策部署，落实简政放权、放管结合、优化服务要求，坚持执法公正，提高执法效率，建立健全科学的随机抽查机制，规范执法检查工作，创新方式方法，促进市场主体自觉自律，提高监管效能，改善执法环境。</w:t>
      </w:r>
    </w:p>
    <w:p w14:paraId="665610D7">
      <w:pPr>
        <w:pStyle w:val="10"/>
        <w:numPr>
          <w:ilvl w:val="0"/>
          <w:numId w:val="1"/>
        </w:numPr>
        <w:adjustRightInd/>
        <w:snapToGrid/>
        <w:spacing w:before="0" w:beforeAutospacing="0" w:after="0" w:afterAutospacing="0" w:line="560" w:lineRule="exact"/>
        <w:ind w:right="0"/>
        <w:textAlignment w:val="auto"/>
        <w:outlineLvl w:val="9"/>
        <w:rPr>
          <w:rFonts w:hint="eastAsia" w:ascii="黑体" w:hAnsi="黑体" w:eastAsia="黑体" w:cs="黑体"/>
          <w:color w:val="333333"/>
          <w:kern w:val="2"/>
          <w:sz w:val="32"/>
          <w:szCs w:val="32"/>
        </w:rPr>
      </w:pPr>
      <w:r>
        <w:rPr>
          <w:rFonts w:hint="eastAsia" w:ascii="黑体" w:hAnsi="黑体" w:eastAsia="黑体" w:cs="黑体"/>
          <w:color w:val="333333"/>
          <w:kern w:val="2"/>
          <w:sz w:val="32"/>
          <w:szCs w:val="32"/>
        </w:rPr>
        <w:t>工作目标</w:t>
      </w:r>
    </w:p>
    <w:p w14:paraId="021DD778">
      <w:pPr>
        <w:pStyle w:val="10"/>
        <w:adjustRightInd/>
        <w:snapToGrid/>
        <w:spacing w:before="0" w:beforeAutospacing="0" w:after="0" w:afterAutospacing="0" w:line="560" w:lineRule="exact"/>
        <w:ind w:right="0" w:firstLine="640" w:firstLineChars="200"/>
        <w:textAlignment w:val="auto"/>
        <w:outlineLvl w:val="9"/>
        <w:rPr>
          <w:rFonts w:hint="eastAsia" w:ascii="仿宋_GB2312" w:hAnsi="仿宋_GB2312" w:eastAsia="仿宋_GB2312" w:cs="仿宋_GB2312"/>
          <w:color w:val="333333"/>
          <w:kern w:val="2"/>
          <w:sz w:val="32"/>
          <w:szCs w:val="32"/>
        </w:rPr>
      </w:pPr>
      <w:r>
        <w:rPr>
          <w:rFonts w:hint="eastAsia" w:ascii="仿宋_GB2312" w:hAnsi="仿宋_GB2312" w:eastAsia="仿宋_GB2312" w:cs="仿宋_GB2312"/>
          <w:color w:val="333333"/>
          <w:kern w:val="2"/>
          <w:sz w:val="32"/>
          <w:szCs w:val="32"/>
        </w:rPr>
        <w:t>坚持依法监管、公开公正、协同推进、联合惩戒的原则，全面推行随机抽查监管，建立符合我市文化</w:t>
      </w:r>
      <w:r>
        <w:rPr>
          <w:rFonts w:hint="eastAsia" w:ascii="仿宋_GB2312" w:hAnsi="仿宋_GB2312" w:eastAsia="仿宋_GB2312" w:cs="仿宋_GB2312"/>
          <w:color w:val="333333"/>
          <w:kern w:val="2"/>
          <w:sz w:val="32"/>
          <w:szCs w:val="32"/>
          <w:lang w:eastAsia="zh-CN"/>
        </w:rPr>
        <w:t>市场</w:t>
      </w:r>
      <w:r>
        <w:rPr>
          <w:rFonts w:hint="eastAsia" w:ascii="仿宋_GB2312" w:hAnsi="仿宋_GB2312" w:eastAsia="仿宋_GB2312" w:cs="仿宋_GB2312"/>
          <w:color w:val="333333"/>
          <w:kern w:val="2"/>
          <w:sz w:val="32"/>
          <w:szCs w:val="32"/>
        </w:rPr>
        <w:t>综合监管工作特点的“双随机、一公开”抽查制度，创新监管方式，规范执法行为，强化社会监督，保障市场主体合法权益，营造公平竞争的发展环境。</w:t>
      </w:r>
    </w:p>
    <w:p w14:paraId="2BAA6ACE">
      <w:pPr>
        <w:pStyle w:val="10"/>
        <w:numPr>
          <w:ilvl w:val="0"/>
          <w:numId w:val="1"/>
        </w:numPr>
        <w:adjustRightInd/>
        <w:snapToGrid/>
        <w:spacing w:before="0" w:beforeAutospacing="0" w:after="0" w:afterAutospacing="0" w:line="560" w:lineRule="exact"/>
        <w:ind w:right="0"/>
        <w:textAlignment w:val="auto"/>
        <w:outlineLvl w:val="9"/>
        <w:rPr>
          <w:rFonts w:hint="eastAsia" w:ascii="黑体" w:hAnsi="黑体" w:eastAsia="黑体" w:cs="黑体"/>
          <w:color w:val="333333"/>
          <w:kern w:val="2"/>
          <w:sz w:val="32"/>
          <w:szCs w:val="32"/>
        </w:rPr>
      </w:pPr>
      <w:r>
        <w:rPr>
          <w:rFonts w:hint="eastAsia" w:ascii="黑体" w:hAnsi="黑体" w:eastAsia="黑体" w:cs="黑体"/>
          <w:color w:val="333333"/>
          <w:kern w:val="2"/>
          <w:sz w:val="32"/>
          <w:szCs w:val="32"/>
        </w:rPr>
        <w:t>工作任务</w:t>
      </w:r>
    </w:p>
    <w:p w14:paraId="0EA8EADD">
      <w:pPr>
        <w:widowControl/>
        <w:shd w:val="clear" w:color="auto" w:fill="FFFFFF"/>
        <w:wordWrap w:val="0"/>
        <w:adjustRightInd/>
        <w:snapToGrid/>
        <w:spacing w:before="0" w:after="0" w:line="560" w:lineRule="exact"/>
        <w:ind w:right="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rPr>
        <w:t>（一）建立“双随机”抽查机制。</w:t>
      </w:r>
      <w:r>
        <w:rPr>
          <w:rFonts w:hint="eastAsia" w:ascii="仿宋_GB2312" w:hAnsi="仿宋_GB2312" w:eastAsia="仿宋_GB2312" w:cs="仿宋_GB2312"/>
          <w:color w:val="333333"/>
          <w:sz w:val="32"/>
          <w:szCs w:val="32"/>
        </w:rPr>
        <w:t>建立执法检查人员和检查对象“双随机”抽查机制，健全完善文化市场综合经营主体名录库和执法人员名录库，随机抽取检查对象和检查人员，每次抽取的执法检查人员不得少于2人。要按照上级随机抽查部署要求，积极实施随机抽查工作。抽取的执法人员和检查对象有利害关系的，应依法回避。</w:t>
      </w:r>
    </w:p>
    <w:p w14:paraId="30A58B55">
      <w:pPr>
        <w:widowControl/>
        <w:shd w:val="clear" w:color="auto" w:fill="FFFFFF"/>
        <w:wordWrap w:val="0"/>
        <w:adjustRightInd/>
        <w:snapToGrid/>
        <w:spacing w:before="0" w:after="0" w:line="560" w:lineRule="exact"/>
        <w:ind w:right="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楷体_GB2312" w:hAnsi="楷体_GB2312" w:eastAsia="楷体_GB2312" w:cs="楷体_GB2312"/>
          <w:color w:val="333333"/>
          <w:sz w:val="32"/>
          <w:szCs w:val="32"/>
        </w:rPr>
        <w:t>（二）加强抽查结果运用。</w:t>
      </w:r>
      <w:r>
        <w:rPr>
          <w:rFonts w:hint="eastAsia" w:ascii="仿宋_GB2312" w:hAnsi="仿宋_GB2312" w:eastAsia="仿宋_GB2312" w:cs="仿宋_GB2312"/>
          <w:color w:val="333333"/>
          <w:sz w:val="32"/>
          <w:szCs w:val="32"/>
        </w:rPr>
        <w:t>对随机抽查中发现的违法违规行为，依法依规加大惩处力度，严重违法违规，加入市场经营单位黑名单。对抽查中发现严重违规的市场经营主体，及时向各部门及行业协会通报，实现联合惩戒，一处失信，处处受限，加强市场信用监管，增强市场主体守法的自觉性。抽查情况、抽查结果及时向社会公开发布，主动接受社会监督。</w:t>
      </w:r>
    </w:p>
    <w:p w14:paraId="51EAA5F5">
      <w:pPr>
        <w:pStyle w:val="10"/>
        <w:numPr>
          <w:ilvl w:val="0"/>
          <w:numId w:val="1"/>
        </w:numPr>
        <w:adjustRightInd/>
        <w:snapToGrid/>
        <w:spacing w:before="0" w:beforeAutospacing="0" w:after="0" w:afterAutospacing="0" w:line="560" w:lineRule="exact"/>
        <w:ind w:right="0"/>
        <w:textAlignment w:val="auto"/>
        <w:outlineLvl w:val="9"/>
        <w:rPr>
          <w:rFonts w:hint="eastAsia" w:ascii="黑体" w:hAnsi="黑体" w:eastAsia="黑体" w:cs="黑体"/>
          <w:color w:val="333333"/>
          <w:kern w:val="2"/>
          <w:sz w:val="32"/>
          <w:szCs w:val="32"/>
        </w:rPr>
      </w:pPr>
      <w:r>
        <w:rPr>
          <w:rFonts w:hint="eastAsia" w:ascii="黑体" w:hAnsi="黑体" w:eastAsia="黑体" w:cs="黑体"/>
          <w:color w:val="333333"/>
          <w:kern w:val="2"/>
          <w:sz w:val="32"/>
          <w:szCs w:val="32"/>
        </w:rPr>
        <w:t>工作要求</w:t>
      </w:r>
    </w:p>
    <w:p w14:paraId="456D96F4">
      <w:pPr>
        <w:widowControl/>
        <w:shd w:val="clear" w:color="auto" w:fill="FFFFFF"/>
        <w:wordWrap w:val="0"/>
        <w:adjustRightInd/>
        <w:snapToGrid/>
        <w:spacing w:before="0" w:after="0" w:line="560" w:lineRule="exact"/>
        <w:ind w:right="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333333"/>
          <w:sz w:val="32"/>
          <w:szCs w:val="32"/>
        </w:rPr>
        <w:t xml:space="preserve">    </w:t>
      </w:r>
      <w:r>
        <w:rPr>
          <w:rFonts w:hint="eastAsia" w:ascii="楷体_GB2312" w:hAnsi="楷体_GB2312" w:eastAsia="楷体_GB2312" w:cs="楷体_GB2312"/>
          <w:color w:val="333333"/>
          <w:sz w:val="32"/>
          <w:szCs w:val="32"/>
        </w:rPr>
        <w:t>（一）加强组织领导。</w:t>
      </w:r>
      <w:r>
        <w:rPr>
          <w:rFonts w:hint="eastAsia" w:ascii="仿宋_GB2312" w:hAnsi="仿宋_GB2312" w:eastAsia="仿宋_GB2312" w:cs="仿宋_GB2312"/>
          <w:color w:val="000000"/>
          <w:kern w:val="0"/>
          <w:sz w:val="32"/>
          <w:szCs w:val="32"/>
        </w:rPr>
        <w:t>加强组织领导，充实、合理调配执法人员，积极配合跨部门随机抽查工作。将随机抽查工作列为重点法制宣传内容和市场执法培训内容，争取市场主体对随机抽查工作的认知和支持，提高综合执法人员的能力和水平，严格落实执法责任。</w:t>
      </w:r>
    </w:p>
    <w:p w14:paraId="03356D82">
      <w:pPr>
        <w:widowControl/>
        <w:shd w:val="clear" w:color="auto" w:fill="FFFFFF"/>
        <w:wordWrap w:val="0"/>
        <w:adjustRightInd/>
        <w:snapToGrid/>
        <w:spacing w:before="0" w:after="0" w:line="56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333333"/>
          <w:sz w:val="32"/>
          <w:szCs w:val="32"/>
        </w:rPr>
        <w:t>（二）合理确定随机抽查的比例和频次。</w:t>
      </w:r>
      <w:r>
        <w:rPr>
          <w:rFonts w:hint="eastAsia" w:ascii="仿宋_GB2312" w:hAnsi="仿宋_GB2312" w:eastAsia="仿宋_GB2312" w:cs="仿宋_GB2312"/>
          <w:color w:val="000000"/>
          <w:kern w:val="0"/>
          <w:sz w:val="32"/>
          <w:szCs w:val="32"/>
        </w:rPr>
        <w:t>根据我市文化市场状况、市场秩序实际情况等，合理确定各门类随机抽查的比例和频次，抽查比例原则上不低于5%，对投诉举报多、违法经营行为多发、有严重违法违规记录等情况的市场经营主体，加大抽查力度。</w:t>
      </w:r>
    </w:p>
    <w:p w14:paraId="5DB8ADEA">
      <w:pPr>
        <w:widowControl/>
        <w:shd w:val="clear" w:color="auto" w:fill="FFFFFF"/>
        <w:wordWrap w:val="0"/>
        <w:adjustRightInd/>
        <w:snapToGrid/>
        <w:spacing w:before="0" w:after="0" w:line="560" w:lineRule="exact"/>
        <w:ind w:right="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333333"/>
          <w:sz w:val="32"/>
          <w:szCs w:val="32"/>
        </w:rPr>
        <w:t>（三）强化责任落实。</w:t>
      </w:r>
      <w:r>
        <w:rPr>
          <w:rFonts w:hint="eastAsia" w:ascii="仿宋_GB2312" w:hAnsi="仿宋_GB2312" w:eastAsia="仿宋_GB2312" w:cs="仿宋_GB2312"/>
          <w:color w:val="000000"/>
          <w:kern w:val="0"/>
          <w:sz w:val="32"/>
          <w:szCs w:val="32"/>
        </w:rPr>
        <w:t>要切实履行文化市场秩序监管职责，大力推广组织实施随机抽查工作，细化任务要求，明确工作进度，落实责任分工，强化过程管控，确保工作落到实处，抓出成效。</w:t>
      </w:r>
    </w:p>
    <w:p w14:paraId="406D469F">
      <w:pPr>
        <w:adjustRightInd/>
        <w:snapToGrid/>
        <w:spacing w:before="0" w:after="0" w:line="560" w:lineRule="exact"/>
        <w:ind w:right="0"/>
        <w:textAlignment w:val="auto"/>
        <w:outlineLvl w:val="9"/>
        <w:rPr>
          <w:rFonts w:hint="eastAsia" w:ascii="仿宋_GB2312" w:hAnsi="仿宋_GB2312" w:eastAsia="仿宋_GB2312" w:cs="仿宋_GB2312"/>
          <w:color w:val="333333"/>
          <w:sz w:val="32"/>
          <w:szCs w:val="32"/>
        </w:rPr>
      </w:pPr>
    </w:p>
    <w:p w14:paraId="0F40CB31">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w:t>
      </w:r>
      <w:r>
        <w:rPr>
          <w:rFonts w:hint="eastAsia" w:ascii="仿宋_GB2312" w:hAnsi="仿宋_GB2312" w:eastAsia="仿宋_GB2312" w:cs="仿宋_GB2312"/>
          <w:color w:val="333333"/>
          <w:sz w:val="32"/>
          <w:szCs w:val="32"/>
          <w:lang w:eastAsia="zh-CN"/>
        </w:rPr>
        <w:t>舞钢市</w:t>
      </w:r>
      <w:r>
        <w:rPr>
          <w:rFonts w:hint="eastAsia" w:ascii="仿宋_GB2312" w:hAnsi="仿宋_GB2312" w:eastAsia="仿宋_GB2312" w:cs="仿宋_GB2312"/>
          <w:color w:val="333333"/>
          <w:sz w:val="32"/>
          <w:szCs w:val="32"/>
        </w:rPr>
        <w:t>文化广电和旅游局</w:t>
      </w:r>
      <w:r>
        <w:rPr>
          <w:rFonts w:hint="eastAsia" w:ascii="仿宋_GB2312" w:hAnsi="仿宋_GB2312" w:eastAsia="仿宋_GB2312" w:cs="仿宋_GB2312"/>
          <w:color w:val="333333"/>
          <w:sz w:val="32"/>
          <w:szCs w:val="32"/>
          <w:lang w:eastAsia="zh-CN"/>
        </w:rPr>
        <w:t>2025</w:t>
      </w:r>
      <w:r>
        <w:rPr>
          <w:rFonts w:hint="eastAsia" w:ascii="仿宋_GB2312" w:hAnsi="仿宋_GB2312" w:eastAsia="仿宋_GB2312" w:cs="仿宋_GB2312"/>
          <w:color w:val="333333"/>
          <w:sz w:val="32"/>
          <w:szCs w:val="32"/>
        </w:rPr>
        <w:t>年“双随机、</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一公</w:t>
      </w:r>
    </w:p>
    <w:p w14:paraId="1AC6C457">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开”</w:t>
      </w:r>
      <w:r>
        <w:rPr>
          <w:rFonts w:hint="eastAsia" w:ascii="仿宋_GB2312" w:hAnsi="仿宋_GB2312" w:eastAsia="仿宋_GB2312" w:cs="仿宋_GB2312"/>
          <w:color w:val="333333"/>
          <w:sz w:val="32"/>
          <w:szCs w:val="32"/>
          <w:lang w:eastAsia="zh-CN"/>
        </w:rPr>
        <w:t>抽查工作计划</w:t>
      </w:r>
    </w:p>
    <w:p w14:paraId="31BAD725">
      <w:pPr>
        <w:adjustRightInd/>
        <w:snapToGrid/>
        <w:spacing w:before="0" w:after="0" w:line="560" w:lineRule="exact"/>
        <w:ind w:right="0"/>
        <w:textAlignment w:val="auto"/>
        <w:outlineLvl w:val="9"/>
        <w:rPr>
          <w:rFonts w:hint="eastAsia" w:ascii="仿宋_GB2312" w:hAnsi="仿宋_GB2312" w:eastAsia="仿宋_GB2312" w:cs="仿宋_GB2312"/>
          <w:b/>
          <w:bCs/>
          <w:color w:val="333333"/>
          <w:sz w:val="32"/>
          <w:szCs w:val="32"/>
        </w:rPr>
      </w:pPr>
    </w:p>
    <w:p w14:paraId="3A4D429F">
      <w:pPr>
        <w:adjustRightInd/>
        <w:snapToGrid/>
        <w:spacing w:before="0" w:after="0" w:line="560" w:lineRule="exact"/>
        <w:ind w:right="0"/>
        <w:textAlignment w:val="auto"/>
        <w:outlineLvl w:val="9"/>
        <w:rPr>
          <w:rFonts w:hint="eastAsia" w:ascii="仿宋_GB2312" w:hAnsi="仿宋_GB2312" w:eastAsia="仿宋_GB2312" w:cs="仿宋_GB2312"/>
          <w:color w:val="333333"/>
          <w:sz w:val="32"/>
          <w:szCs w:val="32"/>
        </w:rPr>
      </w:pPr>
    </w:p>
    <w:p w14:paraId="6EA7C881">
      <w:pPr>
        <w:adjustRightInd/>
        <w:snapToGrid/>
        <w:spacing w:before="0" w:after="0" w:line="560" w:lineRule="exact"/>
        <w:ind w:right="0"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14:paraId="4A505EAE">
      <w:pPr>
        <w:adjustRightInd/>
        <w:snapToGrid/>
        <w:spacing w:before="0" w:after="0" w:line="560" w:lineRule="exact"/>
        <w:ind w:right="0" w:firstLine="4800" w:firstLineChars="1500"/>
        <w:textAlignment w:val="auto"/>
        <w:outlineLvl w:val="9"/>
        <w:rPr>
          <w:rFonts w:ascii="仿宋" w:hAnsi="仿宋" w:eastAsia="仿宋"/>
          <w:sz w:val="32"/>
          <w:szCs w:val="32"/>
        </w:rPr>
      </w:pPr>
    </w:p>
    <w:p w14:paraId="3497B83C">
      <w:pPr>
        <w:adjustRightInd/>
        <w:snapToGrid/>
        <w:spacing w:before="0" w:after="0" w:line="560" w:lineRule="exact"/>
        <w:ind w:right="0" w:firstLine="4800" w:firstLineChars="1500"/>
        <w:textAlignment w:val="auto"/>
        <w:outlineLvl w:val="9"/>
        <w:rPr>
          <w:rFonts w:ascii="仿宋" w:hAnsi="仿宋" w:eastAsia="仿宋"/>
          <w:sz w:val="32"/>
          <w:szCs w:val="32"/>
        </w:rPr>
      </w:pPr>
    </w:p>
    <w:p w14:paraId="0FF008E5">
      <w:pPr>
        <w:adjustRightInd/>
        <w:snapToGrid/>
        <w:spacing w:before="0" w:after="0" w:line="560" w:lineRule="exact"/>
        <w:ind w:right="0" w:firstLine="4800" w:firstLineChars="1500"/>
        <w:textAlignment w:val="auto"/>
        <w:outlineLvl w:val="9"/>
        <w:rPr>
          <w:rFonts w:ascii="仿宋" w:hAnsi="仿宋" w:eastAsia="仿宋"/>
          <w:sz w:val="32"/>
          <w:szCs w:val="32"/>
        </w:rPr>
      </w:pPr>
    </w:p>
    <w:p w14:paraId="576906E4">
      <w:pPr>
        <w:adjustRightInd/>
        <w:snapToGrid/>
        <w:spacing w:before="0" w:after="0" w:line="560" w:lineRule="exact"/>
        <w:ind w:right="0" w:firstLine="4800" w:firstLineChars="1500"/>
        <w:textAlignment w:val="auto"/>
        <w:outlineLvl w:val="9"/>
        <w:rPr>
          <w:rFonts w:ascii="仿宋" w:hAnsi="仿宋" w:eastAsia="仿宋"/>
          <w:sz w:val="32"/>
          <w:szCs w:val="32"/>
        </w:rPr>
      </w:pPr>
    </w:p>
    <w:p w14:paraId="16F2E4E9">
      <w:pPr>
        <w:adjustRightInd/>
        <w:snapToGrid/>
        <w:spacing w:before="0" w:after="0" w:line="560" w:lineRule="exact"/>
        <w:ind w:right="0" w:firstLine="4800" w:firstLineChars="1500"/>
        <w:textAlignment w:val="auto"/>
        <w:outlineLvl w:val="9"/>
        <w:rPr>
          <w:rFonts w:ascii="仿宋" w:hAnsi="仿宋" w:eastAsia="仿宋"/>
          <w:sz w:val="32"/>
          <w:szCs w:val="32"/>
        </w:rPr>
      </w:pPr>
    </w:p>
    <w:p w14:paraId="427A9BFF">
      <w:pPr>
        <w:adjustRightInd/>
        <w:snapToGrid/>
        <w:spacing w:before="0" w:after="0" w:line="560" w:lineRule="exact"/>
        <w:ind w:right="0" w:firstLine="4800" w:firstLineChars="1500"/>
        <w:textAlignment w:val="auto"/>
        <w:outlineLvl w:val="9"/>
        <w:rPr>
          <w:rFonts w:ascii="仿宋" w:hAnsi="仿宋" w:eastAsia="仿宋"/>
          <w:sz w:val="32"/>
          <w:szCs w:val="32"/>
        </w:rPr>
      </w:pPr>
    </w:p>
    <w:p w14:paraId="357F70A8">
      <w:pPr>
        <w:adjustRightInd/>
        <w:snapToGrid/>
        <w:spacing w:before="0" w:after="0" w:line="560" w:lineRule="exact"/>
        <w:ind w:right="0" w:firstLine="4800" w:firstLineChars="1500"/>
        <w:textAlignment w:val="auto"/>
        <w:outlineLvl w:val="9"/>
        <w:rPr>
          <w:rFonts w:ascii="仿宋" w:hAnsi="仿宋" w:eastAsia="仿宋"/>
          <w:sz w:val="32"/>
          <w:szCs w:val="32"/>
        </w:rPr>
      </w:pPr>
    </w:p>
    <w:p w14:paraId="005ECCE6">
      <w:pPr>
        <w:adjustRightInd/>
        <w:snapToGrid/>
        <w:spacing w:before="0" w:after="0" w:line="560" w:lineRule="exact"/>
        <w:ind w:right="0" w:firstLine="4800" w:firstLineChars="1500"/>
        <w:textAlignment w:val="auto"/>
        <w:outlineLvl w:val="9"/>
        <w:rPr>
          <w:rFonts w:ascii="仿宋" w:hAnsi="仿宋" w:eastAsia="仿宋"/>
          <w:sz w:val="32"/>
          <w:szCs w:val="32"/>
        </w:rPr>
      </w:pPr>
    </w:p>
    <w:p w14:paraId="57DA8F09">
      <w:pPr>
        <w:adjustRightInd/>
        <w:snapToGrid/>
        <w:spacing w:before="0" w:after="0" w:line="560" w:lineRule="exact"/>
        <w:ind w:right="0" w:firstLine="4800" w:firstLineChars="1500"/>
        <w:textAlignment w:val="auto"/>
        <w:outlineLvl w:val="9"/>
        <w:rPr>
          <w:rFonts w:ascii="仿宋" w:hAnsi="仿宋" w:eastAsia="仿宋"/>
          <w:sz w:val="32"/>
          <w:szCs w:val="32"/>
        </w:rPr>
      </w:pPr>
    </w:p>
    <w:p w14:paraId="0D123B82">
      <w:pPr>
        <w:adjustRightInd/>
        <w:snapToGrid/>
        <w:spacing w:before="0" w:after="0" w:line="560" w:lineRule="exact"/>
        <w:ind w:right="0" w:firstLine="3150" w:firstLineChars="1500"/>
        <w:textAlignment w:val="auto"/>
        <w:outlineLvl w:val="9"/>
        <w:sectPr>
          <w:footerReference r:id="rId3" w:type="default"/>
          <w:pgSz w:w="11906" w:h="16838"/>
          <w:pgMar w:top="1531" w:right="1627" w:bottom="1587" w:left="1684" w:header="851" w:footer="992" w:gutter="0"/>
          <w:cols w:space="720" w:num="1"/>
          <w:docGrid w:type="lines" w:linePitch="312" w:charSpace="0"/>
        </w:sectPr>
      </w:pPr>
    </w:p>
    <w:p w14:paraId="239C22A1">
      <w:pPr>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w:t>
      </w:r>
    </w:p>
    <w:p w14:paraId="39297D63">
      <w:pPr>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bCs/>
          <w:color w:val="000000"/>
          <w:kern w:val="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rPr>
        <w:t>舞钢市文化广电和旅游局2025年“双随机、一公开”抽查工作计划</w:t>
      </w:r>
    </w:p>
    <w:tbl>
      <w:tblPr>
        <w:tblStyle w:val="4"/>
        <w:tblpPr w:leftFromText="180" w:rightFromText="180" w:vertAnchor="text" w:horzAnchor="page" w:tblpX="1821" w:tblpY="916"/>
        <w:tblOverlap w:val="never"/>
        <w:tblW w:w="13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66"/>
        <w:gridCol w:w="3027"/>
        <w:gridCol w:w="1182"/>
        <w:gridCol w:w="756"/>
        <w:gridCol w:w="851"/>
        <w:gridCol w:w="740"/>
        <w:gridCol w:w="1276"/>
        <w:gridCol w:w="1324"/>
        <w:gridCol w:w="1797"/>
        <w:gridCol w:w="851"/>
      </w:tblGrid>
      <w:tr w14:paraId="7D74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vMerge w:val="restart"/>
            <w:vAlign w:val="center"/>
          </w:tcPr>
          <w:p w14:paraId="2782ED62">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r>
              <w:rPr>
                <w:rFonts w:hint="eastAsia" w:ascii="宋体-PUA" w:hAnsi="宋体-PUA" w:eastAsia="宋体-PUA" w:cs="宋体-PUA"/>
                <w:b/>
                <w:bCs/>
                <w:color w:val="000000"/>
                <w:kern w:val="0"/>
                <w:sz w:val="28"/>
                <w:szCs w:val="28"/>
                <w:lang w:val="en-US" w:eastAsia="zh-CN"/>
              </w:rPr>
              <w:t>序号</w:t>
            </w:r>
          </w:p>
        </w:tc>
        <w:tc>
          <w:tcPr>
            <w:tcW w:w="3893" w:type="dxa"/>
            <w:gridSpan w:val="2"/>
            <w:vAlign w:val="center"/>
          </w:tcPr>
          <w:p w14:paraId="5D213674">
            <w:pPr>
              <w:widowControl/>
              <w:wordWrap/>
              <w:adjustRightInd/>
              <w:snapToGrid/>
              <w:spacing w:line="120" w:lineRule="auto"/>
              <w:ind w:firstLine="280" w:firstLineChars="100"/>
              <w:jc w:val="center"/>
              <w:textAlignment w:val="auto"/>
              <w:rPr>
                <w:rFonts w:hint="eastAsia" w:ascii="宋体-PUA" w:hAnsi="宋体-PUA" w:eastAsia="宋体-PUA" w:cs="宋体-PUA"/>
                <w:b/>
                <w:bCs/>
                <w:color w:val="000000"/>
                <w:kern w:val="0"/>
                <w:sz w:val="15"/>
                <w:szCs w:val="15"/>
                <w:lang w:val="en-US" w:eastAsia="zh-CN"/>
              </w:rPr>
            </w:pPr>
            <w:r>
              <w:rPr>
                <w:rFonts w:hint="eastAsia" w:ascii="宋体-PUA" w:hAnsi="宋体-PUA" w:eastAsia="宋体-PUA" w:cs="宋体-PUA"/>
                <w:color w:val="000000"/>
                <w:kern w:val="0"/>
                <w:sz w:val="28"/>
                <w:szCs w:val="28"/>
                <w:lang w:val="en-US" w:eastAsia="zh-CN"/>
              </w:rPr>
              <w:t xml:space="preserve">抽查项目 </w:t>
            </w:r>
          </w:p>
        </w:tc>
        <w:tc>
          <w:tcPr>
            <w:tcW w:w="1182" w:type="dxa"/>
            <w:vMerge w:val="restart"/>
            <w:vAlign w:val="center"/>
          </w:tcPr>
          <w:p w14:paraId="6B14EAA9">
            <w:pPr>
              <w:widowControl/>
              <w:wordWrap/>
              <w:adjustRightInd/>
              <w:snapToGrid/>
              <w:spacing w:line="120" w:lineRule="auto"/>
              <w:jc w:val="center"/>
              <w:textAlignment w:val="auto"/>
              <w:rPr>
                <w:rFonts w:hint="eastAsia" w:ascii="宋体-PUA" w:hAnsi="宋体-PUA" w:eastAsia="宋体-PUA" w:cs="宋体-PUA"/>
                <w:sz w:val="21"/>
                <w:szCs w:val="21"/>
              </w:rPr>
            </w:pPr>
            <w:r>
              <w:rPr>
                <w:rFonts w:hint="eastAsia" w:ascii="宋体-PUA" w:hAnsi="宋体-PUA" w:eastAsia="宋体-PUA" w:cs="宋体-PUA"/>
                <w:color w:val="000000"/>
                <w:kern w:val="0"/>
                <w:sz w:val="21"/>
                <w:szCs w:val="21"/>
                <w:lang w:val="en-US" w:eastAsia="zh-CN"/>
              </w:rPr>
              <w:t>抽查任务名称</w:t>
            </w:r>
          </w:p>
          <w:p w14:paraId="0FDBEF45">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756" w:type="dxa"/>
            <w:vMerge w:val="restart"/>
            <w:vAlign w:val="center"/>
          </w:tcPr>
          <w:p w14:paraId="08CCB92B">
            <w:pPr>
              <w:widowControl/>
              <w:wordWrap/>
              <w:adjustRightInd/>
              <w:snapToGrid/>
              <w:spacing w:line="120" w:lineRule="auto"/>
              <w:jc w:val="center"/>
              <w:textAlignment w:val="auto"/>
              <w:rPr>
                <w:rFonts w:hint="eastAsia" w:ascii="宋体-PUA" w:hAnsi="宋体-PUA" w:eastAsia="宋体-PUA" w:cs="宋体-PUA"/>
                <w:sz w:val="24"/>
                <w:szCs w:val="24"/>
              </w:rPr>
            </w:pPr>
            <w:r>
              <w:rPr>
                <w:rFonts w:hint="eastAsia" w:ascii="宋体-PUA" w:hAnsi="宋体-PUA" w:eastAsia="宋体-PUA" w:cs="宋体-PUA"/>
                <w:color w:val="000000"/>
                <w:kern w:val="0"/>
                <w:sz w:val="24"/>
                <w:szCs w:val="24"/>
                <w:lang w:val="en-US" w:eastAsia="zh-CN"/>
              </w:rPr>
              <w:t>抽查方式</w:t>
            </w:r>
          </w:p>
          <w:p w14:paraId="77FF97DB">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851" w:type="dxa"/>
            <w:vMerge w:val="restart"/>
            <w:vAlign w:val="center"/>
          </w:tcPr>
          <w:p w14:paraId="0B0A0E46">
            <w:pPr>
              <w:widowControl/>
              <w:wordWrap/>
              <w:adjustRightInd/>
              <w:snapToGrid/>
              <w:spacing w:line="120" w:lineRule="auto"/>
              <w:jc w:val="center"/>
              <w:textAlignment w:val="auto"/>
              <w:rPr>
                <w:rFonts w:hint="eastAsia" w:ascii="宋体-PUA" w:hAnsi="宋体-PUA" w:eastAsia="宋体-PUA" w:cs="宋体-PUA"/>
                <w:sz w:val="24"/>
                <w:szCs w:val="24"/>
              </w:rPr>
            </w:pPr>
            <w:r>
              <w:rPr>
                <w:rFonts w:hint="eastAsia" w:ascii="宋体-PUA" w:hAnsi="宋体-PUA" w:eastAsia="宋体-PUA" w:cs="宋体-PUA"/>
                <w:color w:val="000000"/>
                <w:kern w:val="0"/>
                <w:sz w:val="24"/>
                <w:szCs w:val="24"/>
                <w:lang w:val="en-US" w:eastAsia="zh-CN"/>
              </w:rPr>
              <w:t>检查对象</w:t>
            </w:r>
          </w:p>
          <w:p w14:paraId="17B2C621">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740" w:type="dxa"/>
            <w:vMerge w:val="restart"/>
            <w:vAlign w:val="center"/>
          </w:tcPr>
          <w:p w14:paraId="6CB1DB62">
            <w:pPr>
              <w:widowControl/>
              <w:wordWrap/>
              <w:adjustRightInd/>
              <w:snapToGrid/>
              <w:spacing w:line="120" w:lineRule="auto"/>
              <w:jc w:val="center"/>
              <w:textAlignment w:val="auto"/>
              <w:rPr>
                <w:rFonts w:hint="eastAsia" w:ascii="宋体-PUA" w:hAnsi="宋体-PUA" w:eastAsia="宋体-PUA" w:cs="宋体-PUA"/>
                <w:sz w:val="15"/>
                <w:szCs w:val="15"/>
              </w:rPr>
            </w:pPr>
            <w:r>
              <w:rPr>
                <w:rFonts w:hint="eastAsia" w:ascii="宋体-PUA" w:hAnsi="宋体-PUA" w:eastAsia="宋体-PUA" w:cs="宋体-PUA"/>
                <w:color w:val="000000"/>
                <w:kern w:val="0"/>
                <w:sz w:val="24"/>
                <w:szCs w:val="24"/>
                <w:lang w:val="en-US" w:eastAsia="zh-CN"/>
              </w:rPr>
              <w:t>检查方式</w:t>
            </w:r>
          </w:p>
          <w:p w14:paraId="69C39361">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1276" w:type="dxa"/>
            <w:vMerge w:val="restart"/>
            <w:vAlign w:val="center"/>
          </w:tcPr>
          <w:p w14:paraId="0F649B42">
            <w:pPr>
              <w:widowControl/>
              <w:wordWrap/>
              <w:adjustRightInd/>
              <w:snapToGrid/>
              <w:spacing w:line="120" w:lineRule="auto"/>
              <w:jc w:val="center"/>
              <w:textAlignment w:val="auto"/>
              <w:rPr>
                <w:rFonts w:hint="eastAsia" w:ascii="宋体-PUA" w:hAnsi="宋体-PUA" w:eastAsia="宋体-PUA" w:cs="宋体-PUA"/>
                <w:sz w:val="24"/>
                <w:szCs w:val="24"/>
              </w:rPr>
            </w:pPr>
            <w:r>
              <w:rPr>
                <w:rFonts w:hint="eastAsia" w:ascii="宋体-PUA" w:hAnsi="宋体-PUA" w:eastAsia="宋体-PUA" w:cs="宋体-PUA"/>
                <w:color w:val="000000"/>
                <w:kern w:val="0"/>
                <w:sz w:val="24"/>
                <w:szCs w:val="24"/>
                <w:lang w:val="en-US" w:eastAsia="zh-CN"/>
              </w:rPr>
              <w:t>抽查数量/比例</w:t>
            </w:r>
          </w:p>
          <w:p w14:paraId="36077A2A">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1324" w:type="dxa"/>
            <w:vMerge w:val="restart"/>
            <w:vAlign w:val="center"/>
          </w:tcPr>
          <w:p w14:paraId="562BE3DB">
            <w:pPr>
              <w:widowControl/>
              <w:wordWrap/>
              <w:adjustRightInd/>
              <w:snapToGrid/>
              <w:spacing w:line="120" w:lineRule="auto"/>
              <w:jc w:val="center"/>
              <w:textAlignment w:val="auto"/>
              <w:rPr>
                <w:rFonts w:hint="eastAsia" w:ascii="宋体-PUA" w:hAnsi="宋体-PUA" w:eastAsia="宋体-PUA" w:cs="宋体-PUA"/>
                <w:sz w:val="15"/>
                <w:szCs w:val="15"/>
              </w:rPr>
            </w:pPr>
            <w:r>
              <w:rPr>
                <w:rFonts w:hint="eastAsia" w:ascii="宋体-PUA" w:hAnsi="宋体-PUA" w:eastAsia="宋体-PUA" w:cs="宋体-PUA"/>
                <w:color w:val="000000"/>
                <w:kern w:val="0"/>
                <w:sz w:val="24"/>
                <w:szCs w:val="24"/>
                <w:lang w:val="en-US" w:eastAsia="zh-CN"/>
              </w:rPr>
              <w:t>抽查时间</w:t>
            </w:r>
          </w:p>
          <w:p w14:paraId="521E6E31">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1797" w:type="dxa"/>
            <w:vMerge w:val="restart"/>
            <w:vAlign w:val="center"/>
          </w:tcPr>
          <w:p w14:paraId="5E4D446C">
            <w:pPr>
              <w:widowControl/>
              <w:wordWrap/>
              <w:adjustRightInd/>
              <w:snapToGrid/>
              <w:spacing w:line="120" w:lineRule="auto"/>
              <w:jc w:val="center"/>
              <w:textAlignment w:val="auto"/>
              <w:rPr>
                <w:rFonts w:hint="eastAsia" w:ascii="宋体-PUA" w:hAnsi="宋体-PUA" w:eastAsia="宋体-PUA" w:cs="宋体-PUA"/>
                <w:sz w:val="24"/>
                <w:szCs w:val="24"/>
              </w:rPr>
            </w:pPr>
            <w:r>
              <w:rPr>
                <w:rFonts w:hint="eastAsia" w:ascii="宋体-PUA" w:hAnsi="宋体-PUA" w:eastAsia="宋体-PUA" w:cs="宋体-PUA"/>
                <w:color w:val="000000"/>
                <w:kern w:val="0"/>
                <w:sz w:val="24"/>
                <w:szCs w:val="24"/>
                <w:lang w:val="en-US" w:eastAsia="zh-CN"/>
              </w:rPr>
              <w:t>县（市、区）局抽查要求</w:t>
            </w:r>
          </w:p>
          <w:p w14:paraId="04D9402E">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c>
          <w:tcPr>
            <w:tcW w:w="851" w:type="dxa"/>
            <w:vMerge w:val="restart"/>
            <w:vAlign w:val="center"/>
          </w:tcPr>
          <w:p w14:paraId="11FC86DD">
            <w:pPr>
              <w:widowControl/>
              <w:wordWrap/>
              <w:adjustRightInd/>
              <w:snapToGrid/>
              <w:spacing w:line="120" w:lineRule="auto"/>
              <w:jc w:val="center"/>
              <w:textAlignment w:val="auto"/>
              <w:rPr>
                <w:rFonts w:hint="eastAsia" w:ascii="宋体-PUA" w:hAnsi="宋体-PUA" w:eastAsia="宋体-PUA" w:cs="宋体-PUA"/>
                <w:sz w:val="24"/>
                <w:szCs w:val="24"/>
              </w:rPr>
            </w:pPr>
            <w:r>
              <w:rPr>
                <w:rFonts w:hint="eastAsia" w:ascii="宋体-PUA" w:hAnsi="宋体-PUA" w:eastAsia="宋体-PUA" w:cs="宋体-PUA"/>
                <w:color w:val="000000"/>
                <w:kern w:val="0"/>
                <w:sz w:val="24"/>
                <w:szCs w:val="24"/>
                <w:lang w:val="en-US" w:eastAsia="zh-CN"/>
              </w:rPr>
              <w:t>责任单位</w:t>
            </w:r>
          </w:p>
          <w:p w14:paraId="40BCF95D">
            <w:pPr>
              <w:widowControl/>
              <w:wordWrap/>
              <w:adjustRightInd/>
              <w:snapToGrid/>
              <w:spacing w:line="120" w:lineRule="auto"/>
              <w:jc w:val="center"/>
              <w:textAlignment w:val="auto"/>
              <w:rPr>
                <w:rFonts w:hint="eastAsia" w:ascii="宋体-PUA" w:hAnsi="宋体-PUA" w:eastAsia="宋体-PUA" w:cs="宋体-PUA"/>
                <w:b/>
                <w:bCs/>
                <w:color w:val="000000"/>
                <w:kern w:val="0"/>
                <w:sz w:val="15"/>
                <w:szCs w:val="15"/>
                <w:lang w:val="en-US" w:eastAsia="zh-CN"/>
              </w:rPr>
            </w:pPr>
          </w:p>
        </w:tc>
      </w:tr>
      <w:tr w14:paraId="27F7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vMerge w:val="continue"/>
            <w:vAlign w:val="center"/>
          </w:tcPr>
          <w:p w14:paraId="432BB850">
            <w:pPr>
              <w:widowControl/>
              <w:jc w:val="center"/>
              <w:rPr>
                <w:rFonts w:hint="eastAsia" w:ascii="仿宋_GB2312" w:hAnsi="仿宋_GB2312" w:eastAsia="仿宋_GB2312" w:cs="仿宋_GB2312"/>
                <w:b/>
                <w:bCs/>
                <w:color w:val="000000"/>
                <w:kern w:val="0"/>
                <w:sz w:val="24"/>
                <w:szCs w:val="24"/>
                <w:lang w:val="en-US" w:eastAsia="zh-CN"/>
              </w:rPr>
            </w:pPr>
          </w:p>
        </w:tc>
        <w:tc>
          <w:tcPr>
            <w:tcW w:w="866" w:type="dxa"/>
            <w:vAlign w:val="center"/>
          </w:tcPr>
          <w:p w14:paraId="3C646429">
            <w:pPr>
              <w:widowControl/>
              <w:jc w:val="center"/>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rPr>
              <w:t>抽查</w:t>
            </w:r>
          </w:p>
          <w:p w14:paraId="250D2C4F">
            <w:pPr>
              <w:widowControl/>
              <w:jc w:val="center"/>
              <w:rPr>
                <w:rFonts w:hint="eastAsia" w:ascii="宋体" w:hAnsi="宋体" w:eastAsia="宋体" w:cs="宋体"/>
                <w:b w:val="0"/>
                <w:bCs w:val="0"/>
                <w:color w:val="000000"/>
                <w:kern w:val="0"/>
                <w:sz w:val="15"/>
                <w:szCs w:val="15"/>
                <w:lang w:val="en-US" w:eastAsia="zh-CN"/>
              </w:rPr>
            </w:pPr>
            <w:r>
              <w:rPr>
                <w:rFonts w:hint="eastAsia" w:ascii="宋体" w:hAnsi="宋体" w:eastAsia="宋体" w:cs="宋体"/>
                <w:b w:val="0"/>
                <w:bCs w:val="0"/>
                <w:color w:val="000000"/>
                <w:kern w:val="0"/>
                <w:sz w:val="21"/>
                <w:szCs w:val="21"/>
                <w:lang w:val="en-US" w:eastAsia="zh-CN"/>
              </w:rPr>
              <w:t>类别</w:t>
            </w:r>
          </w:p>
        </w:tc>
        <w:tc>
          <w:tcPr>
            <w:tcW w:w="3027" w:type="dxa"/>
            <w:vAlign w:val="center"/>
          </w:tcPr>
          <w:p w14:paraId="2F80E6F2">
            <w:pPr>
              <w:widowControl/>
              <w:jc w:val="center"/>
              <w:rPr>
                <w:rFonts w:hint="eastAsia" w:ascii="宋体" w:hAnsi="宋体" w:eastAsia="宋体" w:cs="宋体"/>
                <w:b w:val="0"/>
                <w:bCs w:val="0"/>
                <w:color w:val="000000"/>
                <w:kern w:val="0"/>
                <w:sz w:val="15"/>
                <w:szCs w:val="15"/>
                <w:lang w:val="en-US" w:eastAsia="zh-CN"/>
              </w:rPr>
            </w:pPr>
            <w:r>
              <w:rPr>
                <w:rFonts w:hint="eastAsia" w:ascii="宋体" w:hAnsi="宋体" w:eastAsia="宋体" w:cs="宋体"/>
                <w:b w:val="0"/>
                <w:bCs w:val="0"/>
                <w:color w:val="000000"/>
                <w:kern w:val="0"/>
                <w:sz w:val="21"/>
                <w:szCs w:val="21"/>
                <w:lang w:val="en-US" w:eastAsia="zh-CN"/>
              </w:rPr>
              <w:t>抽查事项</w:t>
            </w:r>
          </w:p>
        </w:tc>
        <w:tc>
          <w:tcPr>
            <w:tcW w:w="1182" w:type="dxa"/>
            <w:vMerge w:val="continue"/>
            <w:vAlign w:val="center"/>
          </w:tcPr>
          <w:p w14:paraId="1154BE53">
            <w:pPr>
              <w:widowControl/>
              <w:jc w:val="center"/>
              <w:rPr>
                <w:rFonts w:ascii="仿宋_GB2312" w:hAnsi="仿宋_GB2312" w:eastAsia="仿宋_GB2312" w:cs="仿宋_GB2312"/>
                <w:b/>
                <w:bCs/>
                <w:color w:val="000000"/>
                <w:kern w:val="0"/>
                <w:sz w:val="32"/>
                <w:szCs w:val="32"/>
                <w:lang w:val="en-US" w:eastAsia="zh-CN"/>
              </w:rPr>
            </w:pPr>
          </w:p>
        </w:tc>
        <w:tc>
          <w:tcPr>
            <w:tcW w:w="756" w:type="dxa"/>
            <w:vMerge w:val="continue"/>
            <w:vAlign w:val="center"/>
          </w:tcPr>
          <w:p w14:paraId="2168A3B6">
            <w:pPr>
              <w:widowControl/>
              <w:jc w:val="center"/>
              <w:rPr>
                <w:rFonts w:ascii="仿宋_GB2312" w:hAnsi="仿宋_GB2312" w:eastAsia="仿宋_GB2312" w:cs="仿宋_GB2312"/>
                <w:b/>
                <w:bCs/>
                <w:color w:val="000000"/>
                <w:kern w:val="0"/>
                <w:sz w:val="32"/>
                <w:szCs w:val="32"/>
                <w:lang w:val="en-US" w:eastAsia="zh-CN"/>
              </w:rPr>
            </w:pPr>
          </w:p>
        </w:tc>
        <w:tc>
          <w:tcPr>
            <w:tcW w:w="851" w:type="dxa"/>
            <w:vMerge w:val="continue"/>
            <w:vAlign w:val="center"/>
          </w:tcPr>
          <w:p w14:paraId="7B8B9FA0">
            <w:pPr>
              <w:widowControl/>
              <w:jc w:val="center"/>
              <w:rPr>
                <w:rFonts w:ascii="仿宋_GB2312" w:hAnsi="仿宋_GB2312" w:eastAsia="仿宋_GB2312" w:cs="仿宋_GB2312"/>
                <w:b/>
                <w:bCs/>
                <w:color w:val="000000"/>
                <w:kern w:val="0"/>
                <w:sz w:val="32"/>
                <w:szCs w:val="32"/>
                <w:lang w:val="en-US" w:eastAsia="zh-CN"/>
              </w:rPr>
            </w:pPr>
          </w:p>
        </w:tc>
        <w:tc>
          <w:tcPr>
            <w:tcW w:w="740" w:type="dxa"/>
            <w:vMerge w:val="continue"/>
            <w:vAlign w:val="center"/>
          </w:tcPr>
          <w:p w14:paraId="5FD240F7">
            <w:pPr>
              <w:widowControl/>
              <w:jc w:val="center"/>
              <w:rPr>
                <w:rFonts w:ascii="仿宋_GB2312" w:hAnsi="仿宋_GB2312" w:eastAsia="仿宋_GB2312" w:cs="仿宋_GB2312"/>
                <w:b/>
                <w:bCs/>
                <w:color w:val="000000"/>
                <w:kern w:val="0"/>
                <w:sz w:val="32"/>
                <w:szCs w:val="32"/>
                <w:lang w:val="en-US" w:eastAsia="zh-CN"/>
              </w:rPr>
            </w:pPr>
          </w:p>
        </w:tc>
        <w:tc>
          <w:tcPr>
            <w:tcW w:w="1276" w:type="dxa"/>
            <w:vMerge w:val="continue"/>
            <w:vAlign w:val="center"/>
          </w:tcPr>
          <w:p w14:paraId="7BF86983">
            <w:pPr>
              <w:widowControl/>
              <w:jc w:val="center"/>
              <w:rPr>
                <w:rFonts w:ascii="仿宋_GB2312" w:hAnsi="仿宋_GB2312" w:eastAsia="仿宋_GB2312" w:cs="仿宋_GB2312"/>
                <w:b/>
                <w:bCs/>
                <w:color w:val="000000"/>
                <w:kern w:val="0"/>
                <w:sz w:val="32"/>
                <w:szCs w:val="32"/>
                <w:lang w:val="en-US" w:eastAsia="zh-CN"/>
              </w:rPr>
            </w:pPr>
          </w:p>
        </w:tc>
        <w:tc>
          <w:tcPr>
            <w:tcW w:w="1324" w:type="dxa"/>
            <w:vMerge w:val="continue"/>
            <w:vAlign w:val="center"/>
          </w:tcPr>
          <w:p w14:paraId="684DB0C7">
            <w:pPr>
              <w:widowControl/>
              <w:jc w:val="center"/>
              <w:rPr>
                <w:rFonts w:ascii="仿宋_GB2312" w:hAnsi="仿宋_GB2312" w:eastAsia="仿宋_GB2312" w:cs="仿宋_GB2312"/>
                <w:b/>
                <w:bCs/>
                <w:color w:val="000000"/>
                <w:kern w:val="0"/>
                <w:sz w:val="32"/>
                <w:szCs w:val="32"/>
                <w:lang w:val="en-US" w:eastAsia="zh-CN"/>
              </w:rPr>
            </w:pPr>
          </w:p>
        </w:tc>
        <w:tc>
          <w:tcPr>
            <w:tcW w:w="1797" w:type="dxa"/>
            <w:vMerge w:val="continue"/>
            <w:vAlign w:val="center"/>
          </w:tcPr>
          <w:p w14:paraId="320EE20F">
            <w:pPr>
              <w:widowControl/>
              <w:jc w:val="center"/>
              <w:rPr>
                <w:rFonts w:ascii="仿宋_GB2312" w:hAnsi="仿宋_GB2312" w:eastAsia="仿宋_GB2312" w:cs="仿宋_GB2312"/>
                <w:b/>
                <w:bCs/>
                <w:color w:val="000000"/>
                <w:kern w:val="0"/>
                <w:sz w:val="32"/>
                <w:szCs w:val="32"/>
                <w:lang w:val="en-US" w:eastAsia="zh-CN"/>
              </w:rPr>
            </w:pPr>
          </w:p>
        </w:tc>
        <w:tc>
          <w:tcPr>
            <w:tcW w:w="851" w:type="dxa"/>
            <w:vMerge w:val="continue"/>
            <w:vAlign w:val="center"/>
          </w:tcPr>
          <w:p w14:paraId="2D261589">
            <w:pPr>
              <w:widowControl/>
              <w:jc w:val="center"/>
              <w:rPr>
                <w:rFonts w:ascii="仿宋_GB2312" w:hAnsi="仿宋_GB2312" w:eastAsia="仿宋_GB2312" w:cs="仿宋_GB2312"/>
                <w:b/>
                <w:bCs/>
                <w:color w:val="000000"/>
                <w:kern w:val="0"/>
                <w:sz w:val="32"/>
                <w:szCs w:val="32"/>
                <w:lang w:val="en-US" w:eastAsia="zh-CN"/>
              </w:rPr>
            </w:pPr>
          </w:p>
        </w:tc>
      </w:tr>
      <w:tr w14:paraId="6405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646" w:type="dxa"/>
            <w:vAlign w:val="center"/>
          </w:tcPr>
          <w:p w14:paraId="547ED6D5">
            <w:pPr>
              <w:widowControl/>
              <w:jc w:val="center"/>
              <w:rPr>
                <w:rFonts w:hint="default"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1</w:t>
            </w:r>
          </w:p>
        </w:tc>
        <w:tc>
          <w:tcPr>
            <w:tcW w:w="866" w:type="dxa"/>
            <w:vAlign w:val="center"/>
          </w:tcPr>
          <w:p w14:paraId="6278BA34">
            <w:pPr>
              <w:widowControl/>
              <w:jc w:val="center"/>
              <w:rPr>
                <w:rFonts w:hint="eastAsia" w:ascii="仿宋_GB2312" w:hAnsi="仿宋_GB2312" w:eastAsia="仿宋_GB2312" w:cs="仿宋_GB2312"/>
                <w:b w:val="0"/>
                <w:bCs w:val="0"/>
                <w:color w:val="000000"/>
                <w:kern w:val="0"/>
                <w:sz w:val="21"/>
                <w:szCs w:val="21"/>
                <w:lang w:val="en-US" w:eastAsia="zh-CN"/>
              </w:rPr>
            </w:pPr>
          </w:p>
          <w:p w14:paraId="038DA938">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歌舞娱乐场所</w:t>
            </w:r>
          </w:p>
          <w:p w14:paraId="62647AEB">
            <w:pPr>
              <w:widowControl/>
              <w:ind w:firstLine="211" w:firstLineChars="100"/>
              <w:jc w:val="center"/>
              <w:rPr>
                <w:rFonts w:hint="eastAsia" w:ascii="仿宋_GB2312" w:hAnsi="仿宋_GB2312" w:eastAsia="仿宋_GB2312" w:cs="仿宋_GB2312"/>
                <w:b/>
                <w:bCs/>
                <w:color w:val="000000"/>
                <w:kern w:val="0"/>
                <w:sz w:val="21"/>
                <w:szCs w:val="21"/>
                <w:lang w:val="en-US" w:eastAsia="zh-CN"/>
              </w:rPr>
            </w:pPr>
          </w:p>
        </w:tc>
        <w:tc>
          <w:tcPr>
            <w:tcW w:w="3027" w:type="dxa"/>
            <w:vAlign w:val="center"/>
          </w:tcPr>
          <w:p w14:paraId="5C5F0CAA">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（一）歌舞娱乐场所的歌曲点播系统与境外的曲库联接的；</w:t>
            </w:r>
          </w:p>
          <w:p w14:paraId="42129F26">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（二）歌舞娱乐场所播放的曲目、屏幕画面或者游艺娱乐场所电子游戏机内的游戏项目含有本条例第十三条禁止内容的；</w:t>
            </w:r>
          </w:p>
          <w:p w14:paraId="06760F7E">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（三）歌舞娱乐场所接纳未成年人的；</w:t>
            </w:r>
          </w:p>
          <w:p w14:paraId="61C1D746">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（四）游艺娱乐场所设置的电子游戏机在国家法定节假日外向未成年人提供的；</w:t>
            </w:r>
          </w:p>
          <w:p w14:paraId="531E7F74">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（五）娱乐场所容纳的消费者超过核定人数的。</w:t>
            </w:r>
          </w:p>
        </w:tc>
        <w:tc>
          <w:tcPr>
            <w:tcW w:w="1182" w:type="dxa"/>
            <w:vAlign w:val="center"/>
          </w:tcPr>
          <w:p w14:paraId="16411F62">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歌舞娱乐场所的检查</w:t>
            </w:r>
          </w:p>
        </w:tc>
        <w:tc>
          <w:tcPr>
            <w:tcW w:w="756" w:type="dxa"/>
            <w:vAlign w:val="center"/>
          </w:tcPr>
          <w:p w14:paraId="22F17470">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一般检查事项</w:t>
            </w:r>
          </w:p>
        </w:tc>
        <w:tc>
          <w:tcPr>
            <w:tcW w:w="851" w:type="dxa"/>
            <w:vAlign w:val="center"/>
          </w:tcPr>
          <w:p w14:paraId="4D2D4E9C">
            <w:pPr>
              <w:widowControl/>
              <w:jc w:val="center"/>
              <w:rPr>
                <w:rFonts w:hint="default"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歌舞娱乐场所</w:t>
            </w:r>
          </w:p>
        </w:tc>
        <w:tc>
          <w:tcPr>
            <w:tcW w:w="740" w:type="dxa"/>
            <w:vAlign w:val="center"/>
          </w:tcPr>
          <w:p w14:paraId="62355E24">
            <w:pPr>
              <w:widowControl/>
              <w:jc w:val="center"/>
              <w:rPr>
                <w:rFonts w:hint="eastAsia" w:ascii="仿宋_GB2312" w:hAnsi="仿宋_GB2312" w:eastAsia="仿宋_GB2312" w:cs="仿宋_GB2312"/>
                <w:color w:val="000000"/>
                <w:kern w:val="0"/>
                <w:sz w:val="21"/>
                <w:szCs w:val="21"/>
                <w:lang w:val="en-US" w:eastAsia="zh-CN"/>
              </w:rPr>
            </w:pPr>
          </w:p>
          <w:p w14:paraId="128A85A1">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现场检查书面检查</w:t>
            </w:r>
          </w:p>
        </w:tc>
        <w:tc>
          <w:tcPr>
            <w:tcW w:w="1276" w:type="dxa"/>
            <w:vAlign w:val="center"/>
          </w:tcPr>
          <w:p w14:paraId="4A9242BE">
            <w:pPr>
              <w:widowControl/>
              <w:jc w:val="center"/>
              <w:rPr>
                <w:rFonts w:hint="eastAsia" w:ascii="仿宋_GB2312" w:hAnsi="仿宋_GB2312" w:eastAsia="仿宋_GB2312" w:cs="仿宋_GB2312"/>
                <w:b w:val="0"/>
                <w:bCs w:val="0"/>
                <w:color w:val="000000"/>
                <w:kern w:val="0"/>
                <w:sz w:val="21"/>
                <w:szCs w:val="21"/>
                <w:lang w:val="en-US" w:eastAsia="zh-CN"/>
              </w:rPr>
            </w:pPr>
          </w:p>
          <w:p w14:paraId="440182CD">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20％</w:t>
            </w:r>
          </w:p>
        </w:tc>
        <w:tc>
          <w:tcPr>
            <w:tcW w:w="1324" w:type="dxa"/>
            <w:vAlign w:val="center"/>
          </w:tcPr>
          <w:p w14:paraId="2AAC071F">
            <w:pPr>
              <w:widowControl/>
              <w:jc w:val="center"/>
              <w:rPr>
                <w:rFonts w:hint="eastAsia" w:ascii="仿宋_GB2312" w:hAnsi="仿宋_GB2312" w:eastAsia="仿宋_GB2312" w:cs="仿宋_GB2312"/>
                <w:b w:val="0"/>
                <w:bCs w:val="0"/>
                <w:color w:val="000000"/>
                <w:kern w:val="0"/>
                <w:sz w:val="21"/>
                <w:szCs w:val="21"/>
                <w:lang w:val="en-US" w:eastAsia="zh-CN"/>
              </w:rPr>
            </w:pPr>
          </w:p>
          <w:p w14:paraId="682D3C8E">
            <w:pPr>
              <w:widowControl/>
              <w:jc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1月-11月</w:t>
            </w:r>
          </w:p>
        </w:tc>
        <w:tc>
          <w:tcPr>
            <w:tcW w:w="1797" w:type="dxa"/>
            <w:vAlign w:val="center"/>
          </w:tcPr>
          <w:p w14:paraId="66062C0B">
            <w:pPr>
              <w:widowControl/>
              <w:jc w:val="center"/>
              <w:rPr>
                <w:rFonts w:hint="eastAsia" w:ascii="仿宋_GB2312" w:hAnsi="仿宋_GB2312" w:eastAsia="仿宋_GB2312" w:cs="仿宋_GB2312"/>
                <w:color w:val="000000"/>
                <w:kern w:val="0"/>
                <w:sz w:val="21"/>
                <w:szCs w:val="21"/>
                <w:lang w:val="en-US" w:eastAsia="zh-CN"/>
              </w:rPr>
            </w:pPr>
          </w:p>
          <w:p w14:paraId="2496CA7B">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局机关制定随机抽查计划，具体由责任单位根据实际情况组织实施</w:t>
            </w:r>
          </w:p>
        </w:tc>
        <w:tc>
          <w:tcPr>
            <w:tcW w:w="851" w:type="dxa"/>
            <w:vAlign w:val="center"/>
          </w:tcPr>
          <w:p w14:paraId="15A8D420">
            <w:pPr>
              <w:widowControl/>
              <w:jc w:val="center"/>
              <w:rPr>
                <w:rFonts w:hint="eastAsia" w:ascii="仿宋_GB2312" w:hAnsi="仿宋_GB2312" w:eastAsia="仿宋_GB2312" w:cs="仿宋_GB2312"/>
                <w:color w:val="000000"/>
                <w:kern w:val="0"/>
                <w:sz w:val="21"/>
                <w:szCs w:val="21"/>
                <w:lang w:val="en-US" w:eastAsia="zh-CN"/>
              </w:rPr>
            </w:pPr>
          </w:p>
          <w:p w14:paraId="50A170A3">
            <w:pPr>
              <w:widowControl/>
              <w:jc w:val="center"/>
              <w:rPr>
                <w:rFonts w:hint="eastAsia" w:ascii="仿宋_GB2312" w:hAnsi="仿宋_GB2312" w:eastAsia="仿宋_GB2312" w:cs="仿宋_GB2312"/>
                <w:color w:val="000000"/>
                <w:kern w:val="0"/>
                <w:sz w:val="21"/>
                <w:szCs w:val="21"/>
                <w:lang w:val="en-US" w:eastAsia="zh-CN"/>
              </w:rPr>
            </w:pPr>
          </w:p>
          <w:p w14:paraId="47CA77DC">
            <w:pPr>
              <w:widowControl/>
              <w:jc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舞钢市文化市场综合行政执法大队</w:t>
            </w:r>
          </w:p>
        </w:tc>
      </w:tr>
    </w:tbl>
    <w:p w14:paraId="0D78D489">
      <w:pPr>
        <w:adjustRightInd/>
        <w:snapToGrid/>
        <w:spacing w:before="0" w:after="0" w:line="560" w:lineRule="exact"/>
        <w:ind w:right="0"/>
        <w:textAlignment w:val="auto"/>
        <w:outlineLvl w:val="9"/>
        <w:rPr>
          <w:rFonts w:ascii="仿宋" w:hAnsi="仿宋" w:eastAsia="仿宋"/>
          <w:sz w:val="32"/>
          <w:szCs w:val="32"/>
        </w:rPr>
      </w:pPr>
      <w:bookmarkStart w:id="0" w:name="_GoBack"/>
      <w:bookmarkEnd w:id="0"/>
    </w:p>
    <w:sectPr>
      <w:pgSz w:w="16838" w:h="11906" w:orient="landscape"/>
      <w:pgMar w:top="1684" w:right="1531" w:bottom="1627" w:left="170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8F8E">
    <w:pPr>
      <w:pStyle w:val="2"/>
      <w:jc w:val="center"/>
    </w:pPr>
    <w:r>
      <w:fldChar w:fldCharType="begin"/>
    </w:r>
    <w:r>
      <w:instrText xml:space="preserve"> PAGE   \* MERGEFORMAT </w:instrText>
    </w:r>
    <w:r>
      <w:fldChar w:fldCharType="separate"/>
    </w:r>
    <w:r>
      <w:t>1</w:t>
    </w:r>
    <w:r>
      <w:rPr>
        <w:lang w:val="zh-CN"/>
      </w:rPr>
      <w:fldChar w:fldCharType="end"/>
    </w:r>
  </w:p>
  <w:p w14:paraId="5710169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OGU3YjAwZmJjZGJkMDUwM2I0NjJjY2I3ZTU3OGMifQ=="/>
  </w:docVars>
  <w:rsids>
    <w:rsidRoot w:val="00000000"/>
    <w:rsid w:val="21A57CEA"/>
    <w:rsid w:val="27E60AEE"/>
    <w:rsid w:val="391157FE"/>
    <w:rsid w:val="5237266C"/>
    <w:rsid w:val="55A35789"/>
    <w:rsid w:val="589B0D10"/>
    <w:rsid w:val="6851440B"/>
    <w:rsid w:val="7AD642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脚 Char"/>
    <w:basedOn w:val="5"/>
    <w:link w:val="2"/>
    <w:semiHidden/>
    <w:qFormat/>
    <w:uiPriority w:val="0"/>
    <w:rPr>
      <w:sz w:val="18"/>
      <w:szCs w:val="18"/>
    </w:rPr>
  </w:style>
  <w:style w:type="character" w:customStyle="1" w:styleId="8">
    <w:name w:val="页眉 Char"/>
    <w:basedOn w:val="5"/>
    <w:link w:val="3"/>
    <w:semiHidden/>
    <w:qFormat/>
    <w:uiPriority w:val="0"/>
    <w:rPr>
      <w:sz w:val="18"/>
      <w:szCs w:val="18"/>
    </w:rPr>
  </w:style>
  <w:style w:type="paragraph" w:customStyle="1" w:styleId="9">
    <w:name w:val="批注框文本 Char Char"/>
    <w:basedOn w:val="1"/>
    <w:link w:val="14"/>
    <w:qFormat/>
    <w:uiPriority w:val="0"/>
    <w:rPr>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List Paragraph"/>
    <w:basedOn w:val="1"/>
    <w:qFormat/>
    <w:uiPriority w:val="0"/>
    <w:pPr>
      <w:ind w:firstLine="420" w:firstLineChars="200"/>
    </w:pPr>
  </w:style>
  <w:style w:type="paragraph" w:customStyle="1" w:styleId="13">
    <w:name w:val="p0"/>
    <w:basedOn w:val="1"/>
    <w:qFormat/>
    <w:uiPriority w:val="0"/>
    <w:pPr>
      <w:widowControl/>
    </w:pPr>
    <w:rPr>
      <w:rFonts w:hint="eastAsia"/>
    </w:rPr>
  </w:style>
  <w:style w:type="character" w:customStyle="1" w:styleId="14">
    <w:name w:val="批注框文本 Char Char Char Char"/>
    <w:basedOn w:val="5"/>
    <w:link w:val="9"/>
    <w:semiHidden/>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1364</Words>
  <Characters>1388</Characters>
  <Lines>8</Lines>
  <Paragraphs>2</Paragraphs>
  <TotalTime>1</TotalTime>
  <ScaleCrop>false</ScaleCrop>
  <LinksUpToDate>false</LinksUpToDate>
  <CharactersWithSpaces>1423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2020-03-07T00:36:00Z</dcterms:created>
  <dc:creator>User</dc:creator>
  <cp:lastModifiedBy>正直的天禄จุ๊บ乐明</cp:lastModifiedBy>
  <cp:lastPrinted>2021-08-13T23:53:00Z</cp:lastPrinted>
  <dcterms:modified xsi:type="dcterms:W3CDTF">2025-04-15T06:49:12Z</dcterms:modified>
  <dc:title>123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8DEC349D7ADA437BB19CCB1AB16B4AD2_13</vt:lpwstr>
  </property>
  <property fmtid="{D5CDD505-2E9C-101B-9397-08002B2CF9AE}" pid="4" name="KSOTemplateDocerSaveRecord">
    <vt:lpwstr>eyJoZGlkIjoiNzY0ODRlYjc1ZjhjN2ZjNTA2NjY4ZWM0MjZhMWFjNjEiLCJ1c2VySWQiOiIzNTIxNDI2NTUifQ==</vt:lpwstr>
  </property>
</Properties>
</file>